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74</w:t>
      </w:r>
    </w:p>
    <w:p>
      <w:r>
        <w:t>Bundesgericht (BGE), 2018-01-08, FR</w:t>
      </w:r>
    </w:p>
    <w:p>
      <w:r>
        <w:rPr>
          <w:b/>
        </w:rPr>
        <w:t xml:space="preserve">Quelle: </w:t>
      </w:r>
      <w:r>
        <w:t>https://mcp.opencaselaw.ch/entscheid/bge_144 III 74</w:t>
      </w:r>
    </w:p>
    <w:p>
      <w:r>
        <w:t>FR: ATF 144 III 74</w:t>
      </w:r>
    </w:p>
    <w:p>
      <w:r>
        <w:t>IT: DTF 144 III 74</w:t>
      </w:r>
    </w:p>
    <w:p>
      <w:pPr>
        <w:pStyle w:val="Heading2"/>
      </w:pPr>
      <w:r>
        <w:t>Regeste</w:t>
      </w:r>
    </w:p>
    <w:p>
      <w:r>
        <w:t>Regeste Art. 13, 17 und 132 SchKG; Art. 12 VVAG; Stellung des mit der Auflösung und Liquidation einer Gemeinschaft beauftragten Verwalters; auf die rechtliche Aufsicht gestützte Weisungen der Aufsichtsbehörde. Der Verwalter, den die Aufsichtsbehörde für die Auflösung und Liquidation eines Gemeinschaftsverhältnisses bezeichnet, ist ein ausserordentliches Vollstreckungsorgan und handelt an der Stelle des Betreibungsamtes (E. 4.1). Kraft ihrer Befugnis zur rechtlichen Aufsicht kann die Aufsichtsbehörde einem Vollstreckungsorgan eine allgemeine oder eine konkrete Weisung erteilen. Diese Weisung unterliegt keiner Beschwerde (E. 4.3).</w:t>
      </w:r>
    </w:p>
    <w:p>
      <w:pPr>
        <w:pStyle w:val="Heading2"/>
      </w:pPr>
      <w:r>
        <w:t>Erwägungen</w:t>
      </w:r>
    </w:p>
    <w:p>
      <w:r>
        <w:rPr>
          <w:b/>
        </w:rPr>
        <w:t>E. 4</w:t>
      </w:r>
    </w:p>
    <w:p>
      <w:r>
        <w:t>(...)</w:t>
      </w:r>
    </w:p>
    <w:p>
      <w:r>
        <w:rPr>
          <w:b/>
        </w:rPr>
        <w:t>E. 4.1</w:t>
      </w:r>
    </w:p>
    <w:p>
      <w:r>
        <w:t>Lorsqu'il s'agit de réaliser une part de communauté, il appartient à l'autorité de surveillance de fixer le mode de réalisation ( art. 132 al. 1 LP ). Selon l' art. 132 al. 3 LP ,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 ATF 135 III 179 consid. 2.1; ATF 96 III 10 consid. 2; arrêt 5A_478/2012 du 14 août 2012 consid. 3.1). Cette procédure est aussi applicable à la part que le débiteur possède dans une société simple, lorsque les associés n'ont pas convenu la copropriété ( art. 1 al. 2 OPC ; arrêt 5A_758/2015 du 22 février 2016 consid. 3.1; sur la procédure, cf. HOCH, Auflösung und Liquidation der einfachen Gesellschaft, 2001, n. 155 ss). Si l'office ne parvient pas à amener les parties à une entente amiable ( art. 9 al. 1 OPC ), l'autorité de surveillance doit fixer de manière obligatoire le mode de réalisation que l'office doit mettre en oeuvre ( art. 10 OPC ). Le choix entre la vente aux enchères comme telle de la part de communauté saisie et la dissolution et la liquidation de la communauté relève de l'opportunité, sous réserve des critères de l' art. 10 al. 3 et 4 OPC ( ATF 135 III 179 consid. 2.1; ATF 96 III 10 consid. 2; ATF 87 III 109 ; arrêt 5A_758/2015 précité consid. 3.2). Si l'autorité de surveillance ordonne la dissolution et la liquidation de la communauté, elle peut, au lieu de recourir à l'office, nommer un administrateur qui prendra les mesures juridiques nécessaires pour procéder à la dissolution et à la liquidation et exercera à cet effet tous les droits appartenant au débiteur ( art. 12, 1 re phrase, OPC; ATF 135 précité consid. 1.5; 93 III 116 consid. 1; arrêt 5A_758/2015 précité consid. 3.2). L'administrateur agit, de manière comparable à l'administration de la faillite pour le failli, en tant que représentant légal du poursuivi (RUTZ/ROTH, in Basler Kommentar, Bundesgesetz über Schuldbetreibung und Konkurs, vol. I, 2 e éd. 2010, n° 36b ad art. 132 BGE 144 III 74 S. 79 LP ). Il exerce les droits du poursuivi dans le respect des règles tant légales que contractuelles de liquidation de la société (SCHLEGEL/ZOPFI, in Kommentar zum Bundesgesetz über Schuldbetreibung und Konkurs [SchKG], 4 e éd. 2017, n° 10 ad art. 132 LP ). Sa position dans la liquidation correspond à celle qui revient au débiteur qui est donc, de par la loi, représenté dans l'exercice de ses droits. Il n'a ni plus ni moins de compétences que le débiteur (BISANG, Die Zwangsverwertung von Anteilen an Gesamthandschaften, 1978, p. 190, 193; HOCH, op. cit., n. 171; arrêt du Tribunal cantonal lucernois du 9 septembre 2013 consid. 5.5, in BlSchK 2015 p. 118 ss). L'administrateur nommé est un organe extraordinaire de la poursuite. Il agit à la place de l'office et n'est pas soumis à la surveillance de ce dernier mais à celle de l'autorité de surveillance, comme l'est l'administration privée de la faillite (à propos de celle-ci, cf. entre autres: arrêt 5A_25/2012 du 4 juin 2012 consid. 4.2, in Pra 2012 n. 132 p. 952; GILLIÉRON, Poursuite pour dettes, faillite et concordat, 5 e éd. 2012, n. 1923; LORANDI, Betreibungsrechtliche Beschwerde und Nichtigkeit, 2000, n° 26 ad art. 13 LP ). (...)</w:t>
      </w:r>
    </w:p>
    <w:p>
      <w:r>
        <w:rPr>
          <w:b/>
        </w:rPr>
        <w:t>E. 4.3</w:t>
      </w:r>
    </w:p>
    <w:p>
      <w:r>
        <w:t>L'autorité de surveillance exerce sa surveillance juridictionnelle sur tous les organes de l'exécution forcée dont les décisions ou les omissions peuvent faire l'objet d'une plainte ( art. 17 LP ; LORANDI, op. cit., n os 25 ss ad art. 13 LP ). En vertu de ce pouvoir, elle intervient sur plainte ou aussi d'office pour faire respecter la loi et peut prendre toutes les décisions ou mesures nécessaires pour remédier aux procédés illégaux d'une autorité de poursuite ou d'un organe de l'exécution forcée, ainsi que pour sauvegarder les droits compromis ou menacés des intéressés (arrêt 5A_675/2011 du 19 janvier 2012 consid. 3.3; cf. entre autres: WEINGART, in Kommentar zum Bundesgesetz über Schuldbetreibung und Konkurs [SchKG], 4 e éd. 2017, n° 5 ad art. 13 LP ). Elle peut aussi donner une instruction générale ou individuelle à un organe de poursuite (arrêt 7B.99/2006 du 1 er septembre 2006 consid. 1.5). De telles instructions ne peuvent pas faire l'objet d'une plainte ou d'un recours. Seule est attaquable la décision prise sur la base de l'instruction (arrêt 7B.198/2003 du 13 novembre 2003 consid. 4.2 et 4.3; EMMEL, in Basler Kommentar, Bundesgesetz über Schuldbetreibung und Konkurs, vol. I, 2 e éd. 2010, n° 13 ad art. 13 LP ; LEVANTE, in SchKG, Kurzkommentar, 2 e éd. 2014, n os 3 et 6 ad art. 13 LP ; LORANDI, op. cit., n os 36 et 46 ad art. 13 LP ; BGE 144 III 74 S. 80 le même , Besonderheiten der Beschwerde in Zivilsachen gegen Entscheide der kantonalen Aufsichtbehörden in SchKG-Sachen, PJA 2007 p. 433 ss [435]).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